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87" w:rsidRPr="00A31387" w:rsidRDefault="00A31387" w:rsidP="00A31387">
      <w:pPr>
        <w:tabs>
          <w:tab w:val="left" w:pos="1440"/>
          <w:tab w:val="left" w:pos="2160"/>
        </w:tabs>
        <w:rPr>
          <w:rFonts w:ascii="Tahoma" w:hAnsi="Tahoma" w:cs="Tahoma"/>
          <w:b/>
          <w:sz w:val="22"/>
          <w:szCs w:val="22"/>
        </w:rPr>
      </w:pPr>
      <w:bookmarkStart w:id="0" w:name="_GoBack"/>
      <w:bookmarkEnd w:id="0"/>
      <w:r w:rsidRPr="00A31387">
        <w:rPr>
          <w:rFonts w:ascii="Tahoma" w:hAnsi="Tahoma" w:cs="Tahoma"/>
          <w:b/>
          <w:sz w:val="22"/>
          <w:szCs w:val="22"/>
        </w:rPr>
        <w:t xml:space="preserve">Don’t take your ability to hear for granted. </w:t>
      </w:r>
    </w:p>
    <w:p w:rsidR="00A31387" w:rsidRPr="00A31387" w:rsidRDefault="00A31387" w:rsidP="00A31387">
      <w:pPr>
        <w:tabs>
          <w:tab w:val="left" w:pos="1440"/>
          <w:tab w:val="left" w:pos="2160"/>
        </w:tabs>
        <w:rPr>
          <w:rFonts w:ascii="Tahoma" w:hAnsi="Tahoma" w:cs="Tahoma"/>
          <w:b/>
          <w:sz w:val="22"/>
          <w:szCs w:val="22"/>
        </w:rPr>
      </w:pPr>
    </w:p>
    <w:p w:rsidR="00A31387" w:rsidRPr="00A31387" w:rsidRDefault="00A31387" w:rsidP="00A31387">
      <w:pPr>
        <w:tabs>
          <w:tab w:val="left" w:pos="1440"/>
          <w:tab w:val="left" w:pos="2160"/>
        </w:tabs>
        <w:spacing w:after="120"/>
        <w:rPr>
          <w:rFonts w:ascii="Tahoma" w:hAnsi="Tahoma" w:cs="Tahoma"/>
          <w:b/>
          <w:sz w:val="22"/>
          <w:szCs w:val="22"/>
        </w:rPr>
      </w:pPr>
      <w:r w:rsidRPr="00A31387">
        <w:rPr>
          <w:rFonts w:ascii="Tahoma" w:hAnsi="Tahoma" w:cs="Tahoma"/>
          <w:sz w:val="22"/>
          <w:szCs w:val="22"/>
        </w:rPr>
        <w:t xml:space="preserve">If you are not careful, you </w:t>
      </w:r>
      <w:r w:rsidRPr="00A31387">
        <w:rPr>
          <w:rFonts w:ascii="Tahoma" w:hAnsi="Tahoma" w:cs="Tahoma"/>
          <w:i/>
          <w:sz w:val="22"/>
          <w:szCs w:val="22"/>
        </w:rPr>
        <w:t>can</w:t>
      </w:r>
      <w:r w:rsidRPr="00A31387">
        <w:rPr>
          <w:rFonts w:ascii="Tahoma" w:hAnsi="Tahoma" w:cs="Tahoma"/>
          <w:sz w:val="22"/>
          <w:szCs w:val="22"/>
        </w:rPr>
        <w:t xml:space="preserve"> lose your hearing. If you are exposed to very loud noise or moderately loud noise for an extended period, you must take some form of hearing protection precautions.</w:t>
      </w:r>
    </w:p>
    <w:p w:rsidR="00A31387" w:rsidRPr="00A31387" w:rsidRDefault="00A31387" w:rsidP="00A31387">
      <w:pPr>
        <w:tabs>
          <w:tab w:val="left" w:pos="1440"/>
          <w:tab w:val="left" w:pos="2160"/>
        </w:tabs>
        <w:spacing w:after="120"/>
        <w:rPr>
          <w:rFonts w:ascii="Tahoma" w:hAnsi="Tahoma" w:cs="Tahoma"/>
          <w:b/>
          <w:sz w:val="22"/>
          <w:szCs w:val="22"/>
        </w:rPr>
      </w:pPr>
      <w:r w:rsidRPr="00A31387">
        <w:rPr>
          <w:rFonts w:ascii="Tahoma" w:hAnsi="Tahoma" w:cs="Tahoma"/>
          <w:b/>
          <w:sz w:val="22"/>
          <w:szCs w:val="22"/>
        </w:rPr>
        <w:t>When must hearing protection be provided and worn?</w:t>
      </w:r>
    </w:p>
    <w:p w:rsidR="00A31387" w:rsidRPr="00A31387" w:rsidRDefault="00A31387" w:rsidP="00A31387">
      <w:pPr>
        <w:numPr>
          <w:ilvl w:val="0"/>
          <w:numId w:val="5"/>
        </w:numPr>
        <w:tabs>
          <w:tab w:val="num" w:pos="360"/>
          <w:tab w:val="left" w:pos="1440"/>
        </w:tabs>
        <w:ind w:left="360"/>
        <w:rPr>
          <w:rFonts w:ascii="Tahoma" w:hAnsi="Tahoma" w:cs="Tahoma"/>
          <w:b/>
          <w:sz w:val="22"/>
          <w:szCs w:val="22"/>
        </w:rPr>
      </w:pPr>
      <w:r w:rsidRPr="00A31387">
        <w:rPr>
          <w:rFonts w:ascii="Tahoma" w:hAnsi="Tahoma" w:cs="Tahoma"/>
          <w:sz w:val="22"/>
          <w:szCs w:val="22"/>
        </w:rPr>
        <w:t>The “Best Practices” approach to hearing protection requires that whenever a worker’s noise exposure is at or above an 8-hour average of 85 decibels, hearing protection should be worn.</w:t>
      </w:r>
    </w:p>
    <w:p w:rsidR="00A31387" w:rsidRPr="00A31387" w:rsidRDefault="00A31387" w:rsidP="00A31387">
      <w:pPr>
        <w:numPr>
          <w:ilvl w:val="0"/>
          <w:numId w:val="5"/>
        </w:numPr>
        <w:tabs>
          <w:tab w:val="num" w:pos="360"/>
          <w:tab w:val="left" w:pos="1440"/>
        </w:tabs>
        <w:ind w:left="360"/>
        <w:rPr>
          <w:rFonts w:ascii="Tahoma" w:hAnsi="Tahoma" w:cs="Tahoma"/>
          <w:b/>
          <w:sz w:val="22"/>
          <w:szCs w:val="22"/>
        </w:rPr>
      </w:pPr>
      <w:r w:rsidRPr="00A31387">
        <w:rPr>
          <w:rFonts w:ascii="Tahoma" w:hAnsi="Tahoma" w:cs="Tahoma"/>
          <w:sz w:val="22"/>
          <w:szCs w:val="22"/>
        </w:rPr>
        <w:t>The best defense against hearing loss is to use engineering and work-practice controls to eliminate the excessive exposure wherever possible.</w:t>
      </w:r>
    </w:p>
    <w:p w:rsidR="00A31387" w:rsidRPr="00A31387" w:rsidRDefault="00A31387" w:rsidP="00A31387">
      <w:pPr>
        <w:numPr>
          <w:ilvl w:val="0"/>
          <w:numId w:val="5"/>
        </w:numPr>
        <w:tabs>
          <w:tab w:val="num" w:pos="360"/>
          <w:tab w:val="left" w:pos="1440"/>
        </w:tabs>
        <w:ind w:left="360"/>
        <w:rPr>
          <w:rFonts w:ascii="Tahoma" w:hAnsi="Tahoma" w:cs="Tahoma"/>
          <w:sz w:val="22"/>
          <w:szCs w:val="22"/>
        </w:rPr>
      </w:pPr>
      <w:r w:rsidRPr="00A31387">
        <w:rPr>
          <w:rFonts w:ascii="Tahoma" w:hAnsi="Tahoma" w:cs="Tahoma"/>
          <w:sz w:val="22"/>
          <w:szCs w:val="22"/>
        </w:rPr>
        <w:t>If you are exposed to loud noises intermittently - wear protection.</w:t>
      </w:r>
    </w:p>
    <w:p w:rsidR="00A31387" w:rsidRPr="00A31387" w:rsidRDefault="00A31387" w:rsidP="00A31387">
      <w:pPr>
        <w:numPr>
          <w:ilvl w:val="0"/>
          <w:numId w:val="5"/>
        </w:numPr>
        <w:tabs>
          <w:tab w:val="num" w:pos="360"/>
          <w:tab w:val="left" w:pos="1440"/>
        </w:tabs>
        <w:spacing w:after="120"/>
        <w:ind w:left="360"/>
        <w:rPr>
          <w:rFonts w:ascii="Tahoma" w:hAnsi="Tahoma" w:cs="Tahoma"/>
          <w:sz w:val="22"/>
          <w:szCs w:val="22"/>
        </w:rPr>
      </w:pPr>
      <w:r w:rsidRPr="00A31387">
        <w:rPr>
          <w:rFonts w:ascii="Tahoma" w:hAnsi="Tahoma" w:cs="Tahoma"/>
          <w:sz w:val="22"/>
          <w:szCs w:val="22"/>
        </w:rPr>
        <w:t>Rule of thumb: If you have to raise your voice to talk to someone, you are in an area where the noise level is at or above 85 decibels, and you should be wearing hearing protection.</w:t>
      </w:r>
    </w:p>
    <w:p w:rsidR="00A31387" w:rsidRPr="00A31387" w:rsidRDefault="00A31387" w:rsidP="00A31387">
      <w:pPr>
        <w:tabs>
          <w:tab w:val="left" w:pos="1440"/>
          <w:tab w:val="left" w:pos="2160"/>
        </w:tabs>
        <w:spacing w:after="120"/>
        <w:rPr>
          <w:rFonts w:ascii="Tahoma" w:hAnsi="Tahoma" w:cs="Tahoma"/>
          <w:b/>
          <w:sz w:val="22"/>
          <w:szCs w:val="22"/>
        </w:rPr>
      </w:pPr>
      <w:r w:rsidRPr="00A31387">
        <w:rPr>
          <w:rFonts w:ascii="Tahoma" w:hAnsi="Tahoma" w:cs="Tahoma"/>
          <w:b/>
          <w:sz w:val="22"/>
          <w:szCs w:val="22"/>
        </w:rPr>
        <w:t>How can noise exposure be reduced or eliminated through engineering and work-practice controls?</w:t>
      </w:r>
    </w:p>
    <w:p w:rsidR="00A31387" w:rsidRPr="00A31387" w:rsidRDefault="00A31387" w:rsidP="00A31387">
      <w:pPr>
        <w:numPr>
          <w:ilvl w:val="0"/>
          <w:numId w:val="6"/>
        </w:numPr>
        <w:tabs>
          <w:tab w:val="num" w:pos="360"/>
          <w:tab w:val="left" w:pos="1440"/>
        </w:tabs>
        <w:ind w:left="360"/>
        <w:rPr>
          <w:rFonts w:ascii="Tahoma" w:hAnsi="Tahoma" w:cs="Tahoma"/>
          <w:sz w:val="22"/>
          <w:szCs w:val="22"/>
        </w:rPr>
      </w:pPr>
      <w:r w:rsidRPr="00A31387">
        <w:rPr>
          <w:noProof/>
          <w:sz w:val="22"/>
          <w:szCs w:val="22"/>
        </w:rPr>
        <w:drawing>
          <wp:anchor distT="0" distB="0" distL="114300" distR="114300" simplePos="0" relativeHeight="251659264" behindDoc="0" locked="0" layoutInCell="1" allowOverlap="1">
            <wp:simplePos x="0" y="0"/>
            <wp:positionH relativeFrom="column">
              <wp:posOffset>4095750</wp:posOffset>
            </wp:positionH>
            <wp:positionV relativeFrom="paragraph">
              <wp:posOffset>5715</wp:posOffset>
            </wp:positionV>
            <wp:extent cx="2038350" cy="2266315"/>
            <wp:effectExtent l="0" t="0" r="38100" b="38735"/>
            <wp:wrapSquare wrapText="bothSides"/>
            <wp:docPr id="1" name="Picture 1" descr="H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6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266315"/>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A31387">
        <w:rPr>
          <w:rFonts w:ascii="Tahoma" w:hAnsi="Tahoma" w:cs="Tahoma"/>
          <w:sz w:val="22"/>
          <w:szCs w:val="22"/>
        </w:rPr>
        <w:t>Periodic rotation of workers to less noisy areas.</w:t>
      </w:r>
    </w:p>
    <w:p w:rsidR="00A31387" w:rsidRPr="00A31387" w:rsidRDefault="00A31387" w:rsidP="00A31387">
      <w:pPr>
        <w:numPr>
          <w:ilvl w:val="0"/>
          <w:numId w:val="6"/>
        </w:numPr>
        <w:tabs>
          <w:tab w:val="num" w:pos="360"/>
          <w:tab w:val="left" w:pos="1440"/>
        </w:tabs>
        <w:ind w:left="360"/>
        <w:rPr>
          <w:rFonts w:ascii="Tahoma" w:hAnsi="Tahoma" w:cs="Tahoma"/>
          <w:sz w:val="22"/>
          <w:szCs w:val="22"/>
        </w:rPr>
      </w:pPr>
      <w:r w:rsidRPr="00A31387">
        <w:rPr>
          <w:rFonts w:ascii="Tahoma" w:hAnsi="Tahoma" w:cs="Tahoma"/>
          <w:sz w:val="22"/>
          <w:szCs w:val="22"/>
        </w:rPr>
        <w:t>Adding or replacing mufflers on motorized or pneumatic equipment.</w:t>
      </w:r>
    </w:p>
    <w:p w:rsidR="00A31387" w:rsidRPr="00A31387" w:rsidRDefault="00A31387" w:rsidP="00A31387">
      <w:pPr>
        <w:numPr>
          <w:ilvl w:val="0"/>
          <w:numId w:val="6"/>
        </w:numPr>
        <w:tabs>
          <w:tab w:val="num" w:pos="360"/>
          <w:tab w:val="left" w:pos="1440"/>
        </w:tabs>
        <w:ind w:left="360"/>
        <w:rPr>
          <w:rFonts w:ascii="Tahoma" w:hAnsi="Tahoma" w:cs="Tahoma"/>
          <w:sz w:val="22"/>
          <w:szCs w:val="22"/>
        </w:rPr>
      </w:pPr>
      <w:r w:rsidRPr="00A31387">
        <w:rPr>
          <w:rFonts w:ascii="Tahoma" w:hAnsi="Tahoma" w:cs="Tahoma"/>
          <w:sz w:val="22"/>
          <w:szCs w:val="22"/>
        </w:rPr>
        <w:t>Following equipment maintenance procedures to keep bearings and other moving parts lubricated.</w:t>
      </w:r>
    </w:p>
    <w:p w:rsidR="00A31387" w:rsidRPr="00A31387" w:rsidRDefault="00A31387" w:rsidP="00A31387">
      <w:pPr>
        <w:numPr>
          <w:ilvl w:val="0"/>
          <w:numId w:val="6"/>
        </w:numPr>
        <w:tabs>
          <w:tab w:val="num" w:pos="360"/>
          <w:tab w:val="left" w:pos="1440"/>
        </w:tabs>
        <w:ind w:left="360"/>
        <w:rPr>
          <w:rFonts w:ascii="Tahoma" w:hAnsi="Tahoma" w:cs="Tahoma"/>
          <w:sz w:val="22"/>
          <w:szCs w:val="22"/>
        </w:rPr>
      </w:pPr>
      <w:r w:rsidRPr="00A31387">
        <w:rPr>
          <w:rFonts w:ascii="Tahoma" w:hAnsi="Tahoma" w:cs="Tahoma"/>
          <w:sz w:val="22"/>
          <w:szCs w:val="22"/>
        </w:rPr>
        <w:t>Isolating loud equipment such as compressors and generators away from work areas.</w:t>
      </w:r>
    </w:p>
    <w:p w:rsidR="00A31387" w:rsidRPr="00A31387" w:rsidRDefault="00A31387" w:rsidP="00A31387">
      <w:pPr>
        <w:numPr>
          <w:ilvl w:val="0"/>
          <w:numId w:val="6"/>
        </w:numPr>
        <w:tabs>
          <w:tab w:val="num" w:pos="360"/>
          <w:tab w:val="left" w:pos="1440"/>
        </w:tabs>
        <w:ind w:left="360"/>
        <w:rPr>
          <w:rFonts w:ascii="Tahoma" w:hAnsi="Tahoma" w:cs="Tahoma"/>
          <w:sz w:val="22"/>
          <w:szCs w:val="22"/>
        </w:rPr>
      </w:pPr>
      <w:r w:rsidRPr="00A31387">
        <w:rPr>
          <w:rFonts w:ascii="Tahoma" w:hAnsi="Tahoma" w:cs="Tahoma"/>
          <w:sz w:val="22"/>
          <w:szCs w:val="22"/>
        </w:rPr>
        <w:t>Replacing older, noisier equipment with newer, quieter models.</w:t>
      </w:r>
    </w:p>
    <w:p w:rsidR="00A31387" w:rsidRPr="00A31387" w:rsidRDefault="00A31387" w:rsidP="00A31387">
      <w:pPr>
        <w:numPr>
          <w:ilvl w:val="0"/>
          <w:numId w:val="6"/>
        </w:numPr>
        <w:tabs>
          <w:tab w:val="num" w:pos="360"/>
          <w:tab w:val="left" w:pos="1440"/>
        </w:tabs>
        <w:spacing w:after="120"/>
        <w:ind w:left="360"/>
        <w:rPr>
          <w:rFonts w:ascii="Tahoma" w:hAnsi="Tahoma" w:cs="Tahoma"/>
          <w:sz w:val="22"/>
          <w:szCs w:val="22"/>
        </w:rPr>
      </w:pPr>
      <w:r w:rsidRPr="00A31387">
        <w:rPr>
          <w:rFonts w:ascii="Tahoma" w:hAnsi="Tahoma" w:cs="Tahoma"/>
          <w:sz w:val="22"/>
          <w:szCs w:val="22"/>
        </w:rPr>
        <w:t>Installing sound absorbing materials on walls and ceilings.</w:t>
      </w:r>
    </w:p>
    <w:p w:rsidR="00A31387" w:rsidRPr="00A31387" w:rsidRDefault="00A31387" w:rsidP="00A31387">
      <w:pPr>
        <w:tabs>
          <w:tab w:val="left" w:pos="1440"/>
          <w:tab w:val="left" w:pos="2160"/>
        </w:tabs>
        <w:spacing w:after="120"/>
        <w:rPr>
          <w:rFonts w:ascii="Tahoma" w:hAnsi="Tahoma" w:cs="Tahoma"/>
          <w:b/>
          <w:sz w:val="22"/>
          <w:szCs w:val="22"/>
        </w:rPr>
      </w:pPr>
      <w:r w:rsidRPr="00A31387">
        <w:rPr>
          <w:rFonts w:ascii="Tahoma" w:hAnsi="Tahoma" w:cs="Tahoma"/>
          <w:b/>
          <w:sz w:val="22"/>
          <w:szCs w:val="22"/>
        </w:rPr>
        <w:t>What are the types of hearing protectors?</w:t>
      </w:r>
    </w:p>
    <w:p w:rsidR="00A31387" w:rsidRPr="00A31387" w:rsidRDefault="00A31387" w:rsidP="00A31387">
      <w:pPr>
        <w:numPr>
          <w:ilvl w:val="0"/>
          <w:numId w:val="7"/>
        </w:numPr>
        <w:tabs>
          <w:tab w:val="num" w:pos="360"/>
          <w:tab w:val="left" w:pos="1440"/>
        </w:tabs>
        <w:ind w:left="360"/>
        <w:rPr>
          <w:rFonts w:ascii="Tahoma" w:hAnsi="Tahoma" w:cs="Tahoma"/>
          <w:sz w:val="22"/>
          <w:szCs w:val="22"/>
        </w:rPr>
      </w:pPr>
      <w:r w:rsidRPr="00A31387">
        <w:rPr>
          <w:rFonts w:ascii="Tahoma" w:hAnsi="Tahoma" w:cs="Tahoma"/>
          <w:b/>
          <w:sz w:val="22"/>
          <w:szCs w:val="22"/>
        </w:rPr>
        <w:t>Foam plugs:</w:t>
      </w:r>
      <w:r w:rsidRPr="00A31387">
        <w:rPr>
          <w:rFonts w:ascii="Tahoma" w:hAnsi="Tahoma" w:cs="Tahoma"/>
          <w:sz w:val="22"/>
          <w:szCs w:val="22"/>
        </w:rPr>
        <w:t xml:space="preserve"> Disposable and cheap with good noise reduction ability. Insert correctly to ensure the plugs expand for maximum hearing protection.</w:t>
      </w:r>
    </w:p>
    <w:p w:rsidR="00A31387" w:rsidRPr="00A31387" w:rsidRDefault="00A31387" w:rsidP="00A31387">
      <w:pPr>
        <w:numPr>
          <w:ilvl w:val="0"/>
          <w:numId w:val="7"/>
        </w:numPr>
        <w:tabs>
          <w:tab w:val="num" w:pos="360"/>
          <w:tab w:val="left" w:pos="1440"/>
        </w:tabs>
        <w:ind w:left="360"/>
        <w:rPr>
          <w:rFonts w:ascii="Tahoma" w:hAnsi="Tahoma" w:cs="Tahoma"/>
          <w:sz w:val="22"/>
          <w:szCs w:val="22"/>
        </w:rPr>
      </w:pPr>
      <w:r w:rsidRPr="00A31387">
        <w:rPr>
          <w:rFonts w:ascii="Tahoma" w:hAnsi="Tahoma" w:cs="Tahoma"/>
          <w:b/>
          <w:sz w:val="22"/>
          <w:szCs w:val="22"/>
        </w:rPr>
        <w:t>Reusable plugs:</w:t>
      </w:r>
      <w:r w:rsidRPr="00A31387">
        <w:rPr>
          <w:rFonts w:ascii="Tahoma" w:hAnsi="Tahoma" w:cs="Tahoma"/>
          <w:sz w:val="22"/>
          <w:szCs w:val="22"/>
        </w:rPr>
        <w:t xml:space="preserve"> </w:t>
      </w:r>
      <w:r w:rsidRPr="00A31387">
        <w:rPr>
          <w:rFonts w:ascii="Tahoma" w:hAnsi="Tahoma" w:cs="Tahoma"/>
          <w:bCs/>
          <w:sz w:val="22"/>
          <w:szCs w:val="22"/>
        </w:rPr>
        <w:t>Provides protection similar to foam plugs, but are made of PVC or a polymer blend. Good for people who are allergic or sensitive to foam plugs.</w:t>
      </w:r>
      <w:r w:rsidRPr="00A31387">
        <w:rPr>
          <w:rFonts w:cs="Arial"/>
          <w:b/>
          <w:bCs/>
          <w:sz w:val="22"/>
          <w:szCs w:val="22"/>
        </w:rPr>
        <w:t xml:space="preserve"> </w:t>
      </w:r>
    </w:p>
    <w:p w:rsidR="00A31387" w:rsidRPr="00A31387" w:rsidRDefault="00A31387" w:rsidP="00A31387">
      <w:pPr>
        <w:numPr>
          <w:ilvl w:val="0"/>
          <w:numId w:val="7"/>
        </w:numPr>
        <w:tabs>
          <w:tab w:val="num" w:pos="360"/>
          <w:tab w:val="left" w:pos="1440"/>
        </w:tabs>
        <w:ind w:left="360"/>
        <w:rPr>
          <w:rFonts w:ascii="Tahoma" w:hAnsi="Tahoma" w:cs="Tahoma"/>
          <w:sz w:val="22"/>
          <w:szCs w:val="22"/>
        </w:rPr>
      </w:pPr>
      <w:r w:rsidRPr="00A31387">
        <w:rPr>
          <w:rFonts w:ascii="Tahoma" w:hAnsi="Tahoma" w:cs="Tahoma"/>
          <w:b/>
          <w:sz w:val="22"/>
          <w:szCs w:val="22"/>
        </w:rPr>
        <w:t>Canal caps:</w:t>
      </w:r>
      <w:r w:rsidRPr="00A31387">
        <w:rPr>
          <w:rFonts w:ascii="Tahoma" w:hAnsi="Tahoma" w:cs="Tahoma"/>
          <w:sz w:val="22"/>
          <w:szCs w:val="22"/>
        </w:rPr>
        <w:t xml:space="preserve"> Designed to fit into the outer ear and to be held in place by a headband. Good for situations where protection must be removed frequently. </w:t>
      </w:r>
    </w:p>
    <w:p w:rsidR="00A31387" w:rsidRPr="00A31387" w:rsidRDefault="00A31387" w:rsidP="00A31387">
      <w:pPr>
        <w:numPr>
          <w:ilvl w:val="0"/>
          <w:numId w:val="7"/>
        </w:numPr>
        <w:tabs>
          <w:tab w:val="num" w:pos="360"/>
          <w:tab w:val="left" w:pos="1440"/>
        </w:tabs>
        <w:ind w:left="360"/>
        <w:rPr>
          <w:rFonts w:ascii="Tahoma" w:hAnsi="Tahoma" w:cs="Tahoma"/>
          <w:sz w:val="22"/>
          <w:szCs w:val="22"/>
        </w:rPr>
      </w:pPr>
      <w:r w:rsidRPr="00A31387">
        <w:rPr>
          <w:rFonts w:ascii="Tahoma" w:hAnsi="Tahoma" w:cs="Tahoma"/>
          <w:b/>
          <w:sz w:val="22"/>
          <w:szCs w:val="22"/>
        </w:rPr>
        <w:t>Ear muffs:</w:t>
      </w:r>
      <w:r w:rsidRPr="00A31387">
        <w:rPr>
          <w:rFonts w:ascii="Tahoma" w:hAnsi="Tahoma" w:cs="Tahoma"/>
          <w:sz w:val="22"/>
          <w:szCs w:val="22"/>
        </w:rPr>
        <w:t xml:space="preserve"> Come in a range of noise reduction levels to meet different needs. More comfortable than plugs or canal caps.</w:t>
      </w:r>
    </w:p>
    <w:p w:rsidR="00A31387" w:rsidRPr="00A31387" w:rsidRDefault="00A31387" w:rsidP="00A31387">
      <w:pPr>
        <w:tabs>
          <w:tab w:val="left" w:pos="1440"/>
        </w:tabs>
        <w:ind w:left="360"/>
        <w:rPr>
          <w:rFonts w:ascii="Tahoma" w:hAnsi="Tahoma" w:cs="Tahoma"/>
          <w:sz w:val="22"/>
          <w:szCs w:val="22"/>
        </w:rPr>
      </w:pPr>
    </w:p>
    <w:p w:rsidR="00A31387" w:rsidRPr="00A31387" w:rsidRDefault="00A31387" w:rsidP="00A31387">
      <w:pPr>
        <w:tabs>
          <w:tab w:val="left" w:pos="1080"/>
          <w:tab w:val="left" w:pos="1440"/>
          <w:tab w:val="left" w:pos="2160"/>
        </w:tabs>
        <w:jc w:val="center"/>
        <w:rPr>
          <w:rFonts w:ascii="Tahoma" w:hAnsi="Tahoma" w:cs="Tahoma"/>
          <w:i/>
          <w:sz w:val="22"/>
          <w:szCs w:val="22"/>
        </w:rPr>
      </w:pPr>
      <w:r w:rsidRPr="00A31387">
        <w:rPr>
          <w:rFonts w:ascii="Tahoma" w:hAnsi="Tahoma" w:cs="Tahoma"/>
          <w:i/>
          <w:sz w:val="22"/>
          <w:szCs w:val="22"/>
        </w:rPr>
        <w:t>Know the noise level of the job and how long your exposure will be. Then use the information provided by your safety supplier to select the best hearing protection.</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315F40" w:rsidRPr="00466706" w:rsidRDefault="00315F40" w:rsidP="00315F40">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rsidR="00315F40" w:rsidRPr="00EB21F7" w:rsidRDefault="00315F40" w:rsidP="00315F40">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rsidR="00DF6871" w:rsidRPr="00066622" w:rsidRDefault="00315F40" w:rsidP="00315F40">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rsidR="00315F40" w:rsidRDefault="00315F40" w:rsidP="00670A6F">
      <w:pPr>
        <w:tabs>
          <w:tab w:val="left" w:pos="1440"/>
          <w:tab w:val="left" w:pos="2160"/>
        </w:tabs>
        <w:spacing w:before="100" w:beforeAutospacing="1" w:after="100" w:afterAutospacing="1"/>
        <w:contextualSpacing/>
        <w:rPr>
          <w:rFonts w:ascii="Tahoma" w:hAnsi="Tahoma" w:cs="Tahoma"/>
          <w:b/>
          <w:sz w:val="22"/>
          <w:szCs w:val="22"/>
        </w:rPr>
      </w:pPr>
    </w:p>
    <w:p w:rsidR="00DF6871" w:rsidRDefault="00DF6871" w:rsidP="00670A6F">
      <w:pPr>
        <w:tabs>
          <w:tab w:val="left" w:pos="1440"/>
          <w:tab w:val="left" w:pos="2160"/>
        </w:tabs>
        <w:spacing w:before="100" w:beforeAutospacing="1" w:after="100" w:afterAutospacing="1"/>
        <w:contextualSpacing/>
        <w:rPr>
          <w:rFonts w:ascii="Tahoma" w:hAnsi="Tahoma" w:cs="Tahoma"/>
          <w:b/>
          <w:sz w:val="22"/>
          <w:szCs w:val="22"/>
        </w:rPr>
      </w:pPr>
      <w:r w:rsidRPr="0045764A">
        <w:rPr>
          <w:rFonts w:ascii="Tahoma" w:hAnsi="Tahoma" w:cs="Tahoma"/>
          <w:b/>
          <w:sz w:val="22"/>
          <w:szCs w:val="22"/>
        </w:rPr>
        <w:t>Class Participants:</w:t>
      </w:r>
    </w:p>
    <w:p w:rsidR="00080B9E" w:rsidRDefault="00080B9E" w:rsidP="00670A6F">
      <w:pPr>
        <w:tabs>
          <w:tab w:val="left" w:pos="1440"/>
          <w:tab w:val="left" w:pos="2160"/>
        </w:tabs>
        <w:spacing w:before="100" w:beforeAutospacing="1" w:after="100" w:afterAutospacing="1"/>
        <w:contextualSpacing/>
        <w:rPr>
          <w:rFonts w:ascii="Tahoma" w:hAnsi="Tahoma" w:cs="Tahoma"/>
          <w:sz w:val="22"/>
          <w:szCs w:val="22"/>
        </w:rPr>
      </w:pPr>
    </w:p>
    <w:p w:rsidR="008272DA" w:rsidRDefault="0045764A" w:rsidP="0045764A">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r>
        <w:rPr>
          <w:rFonts w:ascii="Tahoma" w:hAnsi="Tahoma" w:cs="Tahoma"/>
          <w:sz w:val="22"/>
          <w:szCs w:val="22"/>
          <w:u w:val="single"/>
        </w:rPr>
        <w:t xml:space="preserve">   </w:t>
      </w: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7A064D" w:rsidRDefault="007A064D" w:rsidP="00BC1EF8">
      <w:pPr>
        <w:jc w:val="both"/>
        <w:rPr>
          <w:rFonts w:ascii="Tahoma" w:hAnsi="Tahoma" w:cs="Tahoma"/>
          <w:sz w:val="22"/>
          <w:szCs w:val="22"/>
        </w:rPr>
      </w:pPr>
    </w:p>
    <w:p w:rsidR="0045764A" w:rsidRPr="0045764A" w:rsidRDefault="0045764A" w:rsidP="00BC1EF8">
      <w:pPr>
        <w:jc w:val="both"/>
        <w:rPr>
          <w:sz w:val="17"/>
          <w:szCs w:val="17"/>
        </w:rPr>
      </w:pPr>
      <w:r>
        <w:rPr>
          <w:rFonts w:ascii="Tahoma" w:hAnsi="Tahoma" w:cs="Tahoma"/>
          <w:sz w:val="22"/>
          <w:szCs w:val="22"/>
        </w:rPr>
        <w:br/>
      </w:r>
    </w:p>
    <w:sectPr w:rsidR="0045764A" w:rsidRPr="0045764A"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C6" w:rsidRDefault="000F6FC6">
      <w:r>
        <w:separator/>
      </w:r>
    </w:p>
  </w:endnote>
  <w:endnote w:type="continuationSeparator" w:id="0">
    <w:p w:rsidR="000F6FC6" w:rsidRDefault="000F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577128">
          <w:rPr>
            <w:rFonts w:ascii="Tahoma" w:hAnsi="Tahoma" w:cs="Tahoma"/>
            <w:noProof/>
            <w:sz w:val="18"/>
            <w:szCs w:val="18"/>
          </w:rPr>
          <w:t>2</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C6" w:rsidRDefault="000F6FC6">
      <w:r>
        <w:separator/>
      </w:r>
    </w:p>
  </w:footnote>
  <w:footnote w:type="continuationSeparator" w:id="0">
    <w:p w:rsidR="000F6FC6" w:rsidRDefault="000F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4F" w:rsidRDefault="000F6F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CB24BC"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cs="Tahoma"/>
              <w:sz w:val="22"/>
              <w:szCs w:val="22"/>
            </w:rPr>
            <w:t>Training short</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A31387" w:rsidP="00236476">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Hearing Protection</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4F" w:rsidRDefault="000F6F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3F1C64"/>
    <w:multiLevelType w:val="hybridMultilevel"/>
    <w:tmpl w:val="CE1A44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FDB7DA3"/>
    <w:multiLevelType w:val="hybridMultilevel"/>
    <w:tmpl w:val="64D6EA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8F3B96"/>
    <w:multiLevelType w:val="hybridMultilevel"/>
    <w:tmpl w:val="759080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37C20"/>
    <w:rsid w:val="00050535"/>
    <w:rsid w:val="00066622"/>
    <w:rsid w:val="00080B9E"/>
    <w:rsid w:val="000B2B03"/>
    <w:rsid w:val="000B595F"/>
    <w:rsid w:val="000B7CC5"/>
    <w:rsid w:val="000C63D7"/>
    <w:rsid w:val="000C6488"/>
    <w:rsid w:val="000E3BD9"/>
    <w:rsid w:val="000F6FC6"/>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77128"/>
    <w:rsid w:val="00580B58"/>
    <w:rsid w:val="00592244"/>
    <w:rsid w:val="005A00E0"/>
    <w:rsid w:val="005C64E0"/>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F3E26"/>
    <w:rsid w:val="00812B83"/>
    <w:rsid w:val="00823703"/>
    <w:rsid w:val="008272DA"/>
    <w:rsid w:val="00833B6C"/>
    <w:rsid w:val="00841EAC"/>
    <w:rsid w:val="00854C82"/>
    <w:rsid w:val="008818F2"/>
    <w:rsid w:val="008918CA"/>
    <w:rsid w:val="008A372E"/>
    <w:rsid w:val="008B7A72"/>
    <w:rsid w:val="008D7534"/>
    <w:rsid w:val="008E5FF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31387"/>
    <w:rsid w:val="00A75770"/>
    <w:rsid w:val="00A76632"/>
    <w:rsid w:val="00A84185"/>
    <w:rsid w:val="00A907A9"/>
    <w:rsid w:val="00AA6BAA"/>
    <w:rsid w:val="00AB6FBC"/>
    <w:rsid w:val="00AC6A6C"/>
    <w:rsid w:val="00AD0DF2"/>
    <w:rsid w:val="00AE3C61"/>
    <w:rsid w:val="00AE3D93"/>
    <w:rsid w:val="00AF1851"/>
    <w:rsid w:val="00B01A96"/>
    <w:rsid w:val="00B1132E"/>
    <w:rsid w:val="00B36A6D"/>
    <w:rsid w:val="00B4261E"/>
    <w:rsid w:val="00B469D6"/>
    <w:rsid w:val="00B63803"/>
    <w:rsid w:val="00B73408"/>
    <w:rsid w:val="00B82BF8"/>
    <w:rsid w:val="00B87F62"/>
    <w:rsid w:val="00B955DF"/>
    <w:rsid w:val="00B968EA"/>
    <w:rsid w:val="00BB00D8"/>
    <w:rsid w:val="00BC1EF8"/>
    <w:rsid w:val="00BC2238"/>
    <w:rsid w:val="00BC41DA"/>
    <w:rsid w:val="00BE1208"/>
    <w:rsid w:val="00BE1E43"/>
    <w:rsid w:val="00C22B8A"/>
    <w:rsid w:val="00C26D2B"/>
    <w:rsid w:val="00C45664"/>
    <w:rsid w:val="00C47C08"/>
    <w:rsid w:val="00C61136"/>
    <w:rsid w:val="00C72B56"/>
    <w:rsid w:val="00C817E4"/>
    <w:rsid w:val="00C8786D"/>
    <w:rsid w:val="00C965C7"/>
    <w:rsid w:val="00CB0D44"/>
    <w:rsid w:val="00CB24BC"/>
    <w:rsid w:val="00CC05F1"/>
    <w:rsid w:val="00CD1603"/>
    <w:rsid w:val="00CD6FCF"/>
    <w:rsid w:val="00CE2190"/>
    <w:rsid w:val="00CE4FA6"/>
    <w:rsid w:val="00CE64A1"/>
    <w:rsid w:val="00CF2700"/>
    <w:rsid w:val="00CF594D"/>
    <w:rsid w:val="00D140CD"/>
    <w:rsid w:val="00D155E9"/>
    <w:rsid w:val="00D26C2D"/>
    <w:rsid w:val="00D3162C"/>
    <w:rsid w:val="00D31B81"/>
    <w:rsid w:val="00D373D4"/>
    <w:rsid w:val="00D455CB"/>
    <w:rsid w:val="00D72EB8"/>
    <w:rsid w:val="00D87568"/>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6DD5-481D-4385-A327-6EAA1651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Bennett, Sarah</cp:lastModifiedBy>
  <cp:revision>2</cp:revision>
  <cp:lastPrinted>2014-12-17T00:20:00Z</cp:lastPrinted>
  <dcterms:created xsi:type="dcterms:W3CDTF">2021-03-04T15:13:00Z</dcterms:created>
  <dcterms:modified xsi:type="dcterms:W3CDTF">2021-03-04T15:13:00Z</dcterms:modified>
</cp:coreProperties>
</file>